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BA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textAlignment w:val="auto"/>
        <w:outlineLvl w:val="9"/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 xml:space="preserve"> 一</w:t>
      </w:r>
      <w:bookmarkStart w:id="1" w:name="_GoBack"/>
      <w:bookmarkEnd w:id="1"/>
    </w:p>
    <w:p w14:paraId="4A9C5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44"/>
          <w:szCs w:val="44"/>
          <w:highlight w:val="none"/>
          <w:shd w:val="clear" w:color="auto" w:fill="FFFFFF"/>
        </w:rPr>
      </w:pPr>
    </w:p>
    <w:p w14:paraId="056EA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9"/>
        <w:rPr>
          <w:rFonts w:hint="eastAsia" w:eastAsia="方正小标宋简体" w:cs="Times New Roman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shd w:val="clear" w:color="auto" w:fill="FFFFFF"/>
        </w:rPr>
        <w:t>2025年度</w:t>
      </w:r>
      <w:r>
        <w:rPr>
          <w:rFonts w:hint="eastAsia" w:eastAsia="方正小标宋简体" w:cs="Times New Roman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四川省江安县职业技术学校</w:t>
      </w:r>
    </w:p>
    <w:p w14:paraId="5A6A2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shd w:val="clear" w:color="auto" w:fill="FFFFFF"/>
        </w:rPr>
        <w:t>整体支出绩效自评报告</w:t>
      </w:r>
    </w:p>
    <w:p w14:paraId="238B9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contextualSpacing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24"/>
          <w:szCs w:val="32"/>
          <w:highlight w:val="none"/>
          <w:shd w:val="clear" w:color="auto" w:fill="FFFFFF"/>
        </w:rPr>
      </w:pPr>
    </w:p>
    <w:p w14:paraId="7B9C0F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一、部门基本情况</w:t>
      </w:r>
    </w:p>
    <w:p w14:paraId="223AD9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（一）机构组成。</w:t>
      </w:r>
    </w:p>
    <w:p w14:paraId="735F75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根据江机编发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〔2022〕15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号文件批复，同意学校设立办公室、教务处、学生处、教科室、招生培训处、总务处、校企合作办公室、保卫科、财务室等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个内设机构，设置智能制造系、信息工程系、公共管理与服务系等三个专业系。</w:t>
      </w:r>
    </w:p>
    <w:p w14:paraId="2566FA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机构职能。</w:t>
      </w:r>
    </w:p>
    <w:p w14:paraId="5AB2F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实施职业技术学历教育，促进职业教育发展。提供职业技术教育及相关社会服务。承担江安县域内的中等职业教育和职业培训工作。学校开设有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机电技术应用、分析检验技术、服装制作与生产管理等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个专业。</w:t>
      </w:r>
    </w:p>
    <w:p w14:paraId="448590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人员概况。</w:t>
      </w:r>
    </w:p>
    <w:p w14:paraId="209B4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948A54" w:themeColor="background2" w:themeShade="80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四川省江安县职业技术学校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截至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在编教师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人，临聘教职工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人，共计教职工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6232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  <w:lang w:eastAsia="zh-CN"/>
        </w:rPr>
        <w:t>部门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  <w:t>资金收支情况</w:t>
      </w:r>
    </w:p>
    <w:p w14:paraId="69BC8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1. 202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年度部门财政资金收入情况</w:t>
      </w:r>
    </w:p>
    <w:p w14:paraId="2DF689F6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C0000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年度单位</w:t>
      </w:r>
      <w:r>
        <w:rPr>
          <w:rFonts w:ascii="Times New Roman" w:hAnsi="Times New Roman" w:eastAsia="仿宋_GB2312"/>
          <w:color w:val="auto"/>
          <w:sz w:val="32"/>
          <w:szCs w:val="32"/>
        </w:rPr>
        <w:t>财政资金收入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合计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985.47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万元，其中一般公共预算财政拨款收入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785.47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</w:t>
      </w:r>
    </w:p>
    <w:p w14:paraId="05C49C81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2. 202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年度部门财政资金支出情况。</w:t>
      </w:r>
    </w:p>
    <w:p w14:paraId="1BA97AB5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年度，该单位财政资金支出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985.47</w:t>
      </w:r>
      <w:r>
        <w:rPr>
          <w:rFonts w:ascii="Times New Roman" w:hAnsi="Times New Roman" w:eastAsia="仿宋_GB2312"/>
          <w:color w:val="auto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829.16</w:t>
      </w:r>
      <w:r>
        <w:rPr>
          <w:rFonts w:ascii="Times New Roman" w:hAnsi="Times New Roman" w:eastAsia="仿宋_GB2312"/>
          <w:color w:val="auto"/>
          <w:sz w:val="32"/>
          <w:szCs w:val="32"/>
        </w:rPr>
        <w:t>万元，主要支出方向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医疗保险1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31.04</w:t>
      </w:r>
      <w:r>
        <w:rPr>
          <w:rFonts w:ascii="Times New Roman" w:hAnsi="Times New Roman" w:eastAsia="仿宋_GB2312"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年终一次性奖金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88.58</w:t>
      </w:r>
      <w:r>
        <w:rPr>
          <w:rFonts w:ascii="Times New Roman" w:hAnsi="Times New Roman" w:eastAsia="仿宋_GB2312"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退休医疗保障金</w:t>
      </w:r>
      <w:r>
        <w:rPr>
          <w:rFonts w:ascii="Times New Roman" w:hAnsi="Times New Roman" w:eastAsia="仿宋_GB2312"/>
          <w:color w:val="auto"/>
          <w:sz w:val="32"/>
          <w:szCs w:val="32"/>
        </w:rPr>
        <w:t>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8.5</w:t>
      </w:r>
      <w:r>
        <w:rPr>
          <w:rFonts w:ascii="Times New Roman" w:hAnsi="Times New Roman" w:eastAsia="仿宋_GB2312"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工资性支出1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689.05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万元、医疗保障经费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22.4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万元、年中调整人员经费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9.97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万元、退休人员活动经费及福利费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19.82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万元、职业年金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174.28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万元、在职人员工伤保险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3.28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万元、独生子女奖励金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0.108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万元、其他人员运转类经费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185.01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万元、助学金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14.99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万元、失业保险10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.14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56.1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万元、基本养老保险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327.67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万元、工会福利费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84.53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万元、中职教育生均公用经费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17.61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万元、中职教育生均拨款经费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1285.62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万元、退休人员退休生活补助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41.67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万元、年度考核奖8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66.6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、基础绩效奖268.8万元、抚恤金、一次性退休补贴等13.99万元、离退休人员经费18.79万元、遗属人员经费0.99万元、住房公积金289.64万元</w:t>
      </w:r>
      <w:r>
        <w:rPr>
          <w:rFonts w:ascii="Times New Roman" w:hAnsi="Times New Roman" w:eastAsia="仿宋_GB2312"/>
          <w:color w:val="auto"/>
          <w:sz w:val="32"/>
          <w:szCs w:val="32"/>
        </w:rPr>
        <w:t>；预算项目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color w:val="auto"/>
          <w:sz w:val="32"/>
          <w:szCs w:val="32"/>
        </w:rPr>
        <w:t>个，项目支出总额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56.31</w:t>
      </w:r>
      <w:r>
        <w:rPr>
          <w:rFonts w:ascii="Times New Roman" w:hAnsi="Times New Roman" w:eastAsia="仿宋_GB2312"/>
          <w:color w:val="auto"/>
          <w:sz w:val="32"/>
          <w:szCs w:val="32"/>
        </w:rPr>
        <w:t>万元。</w:t>
      </w:r>
    </w:p>
    <w:p w14:paraId="13208480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（2）行政成本控制情况</w:t>
      </w:r>
    </w:p>
    <w:p w14:paraId="30386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年度决算数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985.47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年初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预算数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5162.41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/>
          <w:color w:val="auto"/>
          <w:sz w:val="32"/>
          <w:szCs w:val="32"/>
          <w:lang w:eastAsia="zh-CN"/>
        </w:rPr>
        <w:t>调整预算增加</w:t>
      </w:r>
      <w:r>
        <w:rPr>
          <w:rFonts w:hint="eastAsia"/>
          <w:color w:val="auto"/>
          <w:sz w:val="32"/>
          <w:szCs w:val="32"/>
          <w:lang w:val="en-US" w:eastAsia="zh-CN"/>
        </w:rPr>
        <w:t>1823.06万元，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增加</w:t>
      </w:r>
      <w:r>
        <w:rPr>
          <w:rFonts w:hint="eastAsia"/>
          <w:color w:val="auto"/>
          <w:sz w:val="32"/>
          <w:szCs w:val="32"/>
          <w:lang w:eastAsia="zh-CN"/>
        </w:rPr>
        <w:t>比例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5.31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年总支出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985.47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万元，其中：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教育支出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695.83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元，占总支出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95.85%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。住房保障支出决算数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289.64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元，占总支出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4.15%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 w14:paraId="2925C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（3）部门整体支出进度分析。</w:t>
      </w:r>
    </w:p>
    <w:p w14:paraId="48DEA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年部门年初预算及中途追加各项资金总体支出进度</w:t>
      </w:r>
      <w:r>
        <w:rPr>
          <w:rFonts w:hint="eastAsia" w:eastAsia="仿宋_GB2312"/>
          <w:color w:val="auto"/>
          <w:sz w:val="32"/>
          <w:szCs w:val="32"/>
        </w:rPr>
        <w:t>较好，达到目标支出进度。</w:t>
      </w:r>
      <w:r>
        <w:rPr>
          <w:rFonts w:hint="eastAsia"/>
          <w:color w:val="auto"/>
          <w:sz w:val="32"/>
          <w:szCs w:val="32"/>
          <w:lang w:eastAsia="zh-CN"/>
        </w:rPr>
        <w:t>年末无结余情况。</w:t>
      </w:r>
    </w:p>
    <w:p w14:paraId="5B9C9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kern w:val="0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  <w:t>三、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u w:val="none"/>
          <w:shd w:val="clear" w:color="auto" w:fill="FFFFFF"/>
        </w:rPr>
        <w:t>部门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u w:val="none"/>
          <w:shd w:val="clear" w:color="auto" w:fill="FFFFFF"/>
          <w:lang w:eastAsia="zh-CN"/>
        </w:rPr>
        <w:t>预算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u w:val="none"/>
          <w:shd w:val="clear" w:color="auto" w:fill="FFFFFF"/>
        </w:rPr>
        <w:t>绩效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u w:val="none"/>
          <w:shd w:val="clear" w:color="auto" w:fill="FFFFFF"/>
          <w:lang w:eastAsia="zh-CN"/>
        </w:rPr>
        <w:t>分析</w:t>
      </w:r>
    </w:p>
    <w:p w14:paraId="4FE36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（一）部门预算总体绩效分析。</w:t>
      </w:r>
    </w:p>
    <w:p w14:paraId="596A4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履职效能。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学校</w:t>
      </w:r>
      <w:r>
        <w:rPr>
          <w:rFonts w:hint="default" w:eastAsia="仿宋_GB2312"/>
          <w:color w:val="auto"/>
          <w:sz w:val="32"/>
          <w:szCs w:val="32"/>
          <w:lang w:val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年核心职能目标为完成中职学历教育招生、开展职业技能培训、提升教育教学质量、推进校企合作、改善办学条件</w:t>
      </w:r>
      <w:r>
        <w:rPr>
          <w:rFonts w:hint="default" w:eastAsia="仿宋_GB2312"/>
          <w:color w:val="auto"/>
          <w:sz w:val="32"/>
          <w:szCs w:val="32"/>
          <w:lang w:val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项目标。全年完成招生</w:t>
      </w:r>
      <w:r>
        <w:rPr>
          <w:rFonts w:hint="eastAsia"/>
          <w:color w:val="auto"/>
          <w:sz w:val="30"/>
          <w:szCs w:val="30"/>
          <w:lang w:val="en-US" w:eastAsia="zh-CN"/>
        </w:rPr>
        <w:t>1587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人，开展社会职业培训</w:t>
      </w:r>
      <w:r>
        <w:rPr>
          <w:rFonts w:hint="eastAsia"/>
          <w:color w:val="auto"/>
          <w:sz w:val="30"/>
          <w:szCs w:val="30"/>
          <w:lang w:val="en-US" w:eastAsia="zh-CN"/>
        </w:rPr>
        <w:t>3214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人次，教学质量稳步提升，校企合作企业新增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家，校园设施设备更新到位，核心职能目标全面完成，履职成效显著。</w:t>
      </w:r>
    </w:p>
    <w:p w14:paraId="1CBC9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预算管理。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预算编制科学精准，贴合学校年度工作任务；全面统筹各项收入，保障资金供给；人员类、运转类项目支出执行进度达</w:t>
      </w:r>
      <w:r>
        <w:rPr>
          <w:rFonts w:hint="default" w:eastAsia="仿宋_GB2312"/>
          <w:color w:val="auto"/>
          <w:sz w:val="32"/>
          <w:szCs w:val="32"/>
          <w:lang w:val="zh-CN"/>
        </w:rPr>
        <w:t>100%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，严控“三公”经费等一般性支出，预算管理规范高效。</w:t>
      </w:r>
    </w:p>
    <w:p w14:paraId="03DCE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财务管理。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学校建立健全财务管理制度，财务岗位设置合理、职责明确，严格执行财务审批流程，资金使用合规合法，无截留、挤占、挪用资金等违规行为，财务管理水平持续提升。</w:t>
      </w:r>
    </w:p>
    <w:p w14:paraId="206AF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C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资产管理。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学校资产台账清晰，人均资产保持稳定，教学设备、办公资产利用率达</w:t>
      </w:r>
      <w:r>
        <w:rPr>
          <w:rFonts w:hint="default" w:eastAsia="仿宋_GB2312"/>
          <w:color w:val="auto"/>
          <w:sz w:val="30"/>
          <w:szCs w:val="30"/>
          <w:lang w:val="zh-CN"/>
        </w:rPr>
        <w:t>95%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以上，闲置资产及时盘活处置，资产盘活率达标，实现资产安全高效使用。</w:t>
      </w:r>
    </w:p>
    <w:p w14:paraId="34F0F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C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采购管理。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严格执行政府采购政策，优先面向中小企业采购，支持中小企业发展，采购项目执行率</w:t>
      </w:r>
      <w:r>
        <w:rPr>
          <w:rFonts w:hint="default" w:eastAsia="仿宋_GB2312"/>
          <w:color w:val="auto"/>
          <w:sz w:val="30"/>
          <w:szCs w:val="30"/>
          <w:lang w:val="zh-CN"/>
        </w:rPr>
        <w:t>100%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，采购流程规范透明，采购质效符合要求。</w:t>
      </w:r>
    </w:p>
    <w:p w14:paraId="39EDC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（二）部门预算项目绩效分析</w:t>
      </w:r>
    </w:p>
    <w:p w14:paraId="3934D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eastAsia="仿宋_GB2312"/>
          <w:color w:val="auto"/>
          <w:sz w:val="30"/>
          <w:szCs w:val="30"/>
          <w:lang w:val="zh-CN" w:eastAsia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年学校项目资金涵盖人员类、运转类、特定目标类三大类，合计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45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个项目。按照绩效评价体系，从项目决策、执行、目标实现等维度逐项分析，项目管理总体规范，人员类与运转类项目绩效目标全面完成，特定目标类项目按进度推进。</w:t>
      </w:r>
    </w:p>
    <w:p w14:paraId="6270AD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人员类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项目绩效分析</w:t>
      </w:r>
    </w:p>
    <w:p w14:paraId="13B18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该类项目总数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个，涉及预算总金额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4451.1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万元，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eastAsia" w:eastAsia="仿宋_GB2312"/>
          <w:color w:val="auto"/>
          <w:sz w:val="30"/>
          <w:szCs w:val="30"/>
          <w:lang w:val="zh-CN" w:eastAsia="zh-CN"/>
        </w:rPr>
        <w:t>—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月预算执行总体进度为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，其中：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预算结余率大于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的项目共计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个。人员类项目主要用于教职工工资福利、社会保障缴费等，执行进度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100%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，足额保障教职工待遇，稳定师资队伍，为学校教育教学提供坚实人力支撑。</w:t>
      </w:r>
    </w:p>
    <w:p w14:paraId="5FF58E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运转类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项目绩效分析</w:t>
      </w:r>
    </w:p>
    <w:p w14:paraId="63F76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948A54" w:themeColor="background2" w:themeShade="8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该类项目总数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个，涉及预算总金额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258.72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万元，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eastAsia" w:eastAsia="仿宋_GB2312"/>
          <w:color w:val="auto"/>
          <w:sz w:val="30"/>
          <w:szCs w:val="30"/>
          <w:lang w:val="zh-CN" w:eastAsia="zh-CN"/>
        </w:rPr>
        <w:t>—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月预算执行总体进度为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，其中：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预算结余率大于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10%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的项目共计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个。运转类项目用于水电、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网络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、办公耗材等日常运转支出，执行高效，全面保障学校正常办公与教学秩序。</w:t>
      </w:r>
    </w:p>
    <w:p w14:paraId="68127D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特定目标类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项目绩效分析</w:t>
      </w:r>
    </w:p>
    <w:p w14:paraId="6FBF4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该类项目总数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个，涉及预算总金额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5365.65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万元，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eastAsia" w:eastAsia="仿宋_GB2312"/>
          <w:color w:val="auto"/>
          <w:sz w:val="30"/>
          <w:szCs w:val="30"/>
          <w:lang w:val="zh-CN" w:eastAsia="zh-CN"/>
        </w:rPr>
        <w:t>—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月预算执行总体进度为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56.32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，其中：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预算结余率大于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10%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的项目共计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个。主要用于实训设备采购、校园改造、技能大赛、校企合作基地建设等跨年度项目，因项目建设周期、招标采购流程等客观因素，执行进度未达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100%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，资金按规定结转下年继续使用。</w:t>
      </w:r>
    </w:p>
    <w:p w14:paraId="2AFCA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C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项目决策。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项目决策程序规范，均按规定开展可行性论证、集体研究、入库储备等流程，绩效目标设置科学合理，贴合学校发展需求，项目入库管理规范。</w:t>
      </w:r>
    </w:p>
    <w:p w14:paraId="43F13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cs="Times New Roman"/>
          <w:color w:val="C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2.项目执行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项目资金执行与项目进度同向推进，无资金挪用、用途违规等情况；确需调整的项目按程序报批，执行过程监管到位，项目实施质量符合标准。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其中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江安职校考点租赁手机智能探测安检门（地方教育附加）等</w:t>
      </w:r>
      <w:r>
        <w:rPr>
          <w:rFonts w:hint="eastAsia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个项目执行率达到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100%</w:t>
      </w:r>
      <w:r>
        <w:rPr>
          <w:rFonts w:hint="eastAsia"/>
          <w:color w:val="auto"/>
          <w:sz w:val="30"/>
          <w:szCs w:val="30"/>
          <w:lang w:val="zh-CN" w:eastAsia="zh-CN"/>
        </w:rPr>
        <w:t>，共执行金额</w:t>
      </w:r>
      <w:r>
        <w:rPr>
          <w:rFonts w:hint="eastAsia"/>
          <w:color w:val="auto"/>
          <w:sz w:val="30"/>
          <w:szCs w:val="30"/>
          <w:lang w:val="en-US" w:eastAsia="zh-CN"/>
        </w:rPr>
        <w:t>1312.78万元；2025年惠民行动基础教育办学条件提升项目资金等8个项目执行率未达到</w:t>
      </w:r>
      <w:r>
        <w:rPr>
          <w:rFonts w:hint="default" w:eastAsia="仿宋_GB2312"/>
          <w:color w:val="auto"/>
          <w:sz w:val="30"/>
          <w:szCs w:val="30"/>
          <w:lang w:val="zh-CN" w:eastAsia="zh-CN"/>
        </w:rPr>
        <w:t>100%</w:t>
      </w:r>
      <w:r>
        <w:rPr>
          <w:rFonts w:hint="eastAsia"/>
          <w:color w:val="auto"/>
          <w:sz w:val="30"/>
          <w:szCs w:val="30"/>
          <w:lang w:val="zh-CN" w:eastAsia="zh-CN"/>
        </w:rPr>
        <w:t>，涉及预算金额</w:t>
      </w:r>
      <w:r>
        <w:rPr>
          <w:rFonts w:hint="eastAsia"/>
          <w:color w:val="auto"/>
          <w:sz w:val="30"/>
          <w:szCs w:val="30"/>
          <w:lang w:val="en-US" w:eastAsia="zh-CN"/>
        </w:rPr>
        <w:t>4052.86万元，执行金额1709.62万元。</w:t>
      </w:r>
    </w:p>
    <w:p w14:paraId="585AB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C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目标实现。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已完工特定目标类项目绩效目标全面实现，跨年度项目按阶段完成目标，未出现重大目标偏离情况，在改善办学条件、提升实训能力、增强育人质量等方面效果明显。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其中江安职校小环境专项整治项目资金等</w:t>
      </w:r>
      <w:r>
        <w:rPr>
          <w:rFonts w:hint="eastAsia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个项目已经完成项目目标。</w:t>
      </w:r>
    </w:p>
    <w:p w14:paraId="07829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eastAsia="仿宋_GB2312"/>
          <w:color w:val="auto"/>
          <w:sz w:val="30"/>
          <w:szCs w:val="30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年学校一般公共预算、政府性基金预算项目均按要求执行，无国有资本经营预算项目；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债券资金，专项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用于校园建设；政府购买服务流程规范，服务质量达标，各类资金均实现预期绩效。</w:t>
      </w:r>
    </w:p>
    <w:p w14:paraId="344DE4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zh-CN"/>
        </w:rPr>
        <w:t>绩效结果应用情况</w:t>
      </w:r>
    </w:p>
    <w:p w14:paraId="74C8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学校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将绩效自评结果与预算安排、项目管理、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室考核挂钩，优化资源配置；按规定公开绩效自评信息，接受社会监督；针对自评发现问题及时整改，建立反馈机制，持续提升绩效管理水平。</w:t>
      </w:r>
    </w:p>
    <w:p w14:paraId="2B3B0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</w:rPr>
        <w:t>评价结论及建议</w:t>
      </w:r>
    </w:p>
    <w:p w14:paraId="38E99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（一）评价结论</w:t>
      </w:r>
    </w:p>
    <w:p w14:paraId="209EA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0"/>
          <w:szCs w:val="30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年度四川省江安县职业技术学校整体支出绩效自评得分</w:t>
      </w:r>
      <w:r>
        <w:rPr>
          <w:rFonts w:hint="default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5.5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分，等级为优秀。学校全面履行中职教育与职业培训职能，资金使用规范，预算管理有序，履职成效良好，较好完成年度绩效目标，实现教育教学与办学效益双提升。</w:t>
      </w:r>
    </w:p>
    <w:p w14:paraId="2FC91A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/>
        </w:rPr>
        <w:t>存在问题</w:t>
      </w:r>
    </w:p>
    <w:p w14:paraId="63B07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1.特定目标类项目因建设周期、采购流程等因素，执行进度偏慢，资金结转规模较大；</w:t>
      </w:r>
    </w:p>
    <w:p w14:paraId="0477F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2.部分项目绩效目标设置精细化程度不足，动态调整机制不够完善；</w:t>
      </w:r>
    </w:p>
    <w:p w14:paraId="1D01A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3.项目绩效管理全过程跟踪监管力度有待加强。</w:t>
      </w:r>
    </w:p>
    <w:p w14:paraId="64E7EA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contextualSpacing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（</w:t>
      </w:r>
      <w:r>
        <w:rPr>
          <w:rFonts w:hint="eastAsia" w:eastAsia="楷体_GB2312" w:cs="Times New Roman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三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改进建议</w:t>
      </w:r>
    </w:p>
    <w:p w14:paraId="1F9DD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Hlk110546638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1.针对项目执行慢问题，提前谋划项目前期工作，压缩招标采购与建设周期，加快资金支付进度，合理控制结转资金规模；</w:t>
      </w:r>
    </w:p>
    <w:p w14:paraId="00BD1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2.细化项目绩效目标设置，强化绩效目标动态监控与调整，提升绩效指标精准性；</w:t>
      </w:r>
    </w:p>
    <w:p w14:paraId="049AE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3.健全项目全过程绩效管理机制，加强跟踪督导，将绩效监管贯穿项目决策、执行、验收全流程。</w:t>
      </w:r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FB1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A44E">
                          <w:pPr>
                            <w:pStyle w:val="3"/>
                            <w:ind w:right="451" w:rightChars="141"/>
                            <w:jc w:val="righ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7167AD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6A44E">
                    <w:pPr>
                      <w:pStyle w:val="3"/>
                      <w:ind w:right="451" w:rightChars="141"/>
                      <w:jc w:val="righ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67167AD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BA4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9E2D8"/>
    <w:multiLevelType w:val="singleLevel"/>
    <w:tmpl w:val="8959E2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BCC5C89"/>
    <w:multiLevelType w:val="singleLevel"/>
    <w:tmpl w:val="2BCC5C8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6D823E2"/>
    <w:rsid w:val="0DC31556"/>
    <w:rsid w:val="0F99704C"/>
    <w:rsid w:val="10685029"/>
    <w:rsid w:val="18914657"/>
    <w:rsid w:val="1A3D6143"/>
    <w:rsid w:val="1C013801"/>
    <w:rsid w:val="1DFD8D3B"/>
    <w:rsid w:val="1FB79DC9"/>
    <w:rsid w:val="1FBFC3F2"/>
    <w:rsid w:val="1FFFE033"/>
    <w:rsid w:val="24DF1C11"/>
    <w:rsid w:val="27F352A6"/>
    <w:rsid w:val="2B9E360E"/>
    <w:rsid w:val="2D527252"/>
    <w:rsid w:val="2DDC1740"/>
    <w:rsid w:val="2EAE55F2"/>
    <w:rsid w:val="2EDF4302"/>
    <w:rsid w:val="2EFE1A04"/>
    <w:rsid w:val="2FFF3854"/>
    <w:rsid w:val="3121624C"/>
    <w:rsid w:val="35662BA9"/>
    <w:rsid w:val="35BBF80F"/>
    <w:rsid w:val="3B0B3937"/>
    <w:rsid w:val="3B5129DA"/>
    <w:rsid w:val="3B736F08"/>
    <w:rsid w:val="3BE3D531"/>
    <w:rsid w:val="3D431A40"/>
    <w:rsid w:val="3ED74FA5"/>
    <w:rsid w:val="3EFF42CA"/>
    <w:rsid w:val="3F6FCA38"/>
    <w:rsid w:val="3FD5AF3D"/>
    <w:rsid w:val="3FFED8BE"/>
    <w:rsid w:val="3FFF43BB"/>
    <w:rsid w:val="3FFFFC14"/>
    <w:rsid w:val="4069237E"/>
    <w:rsid w:val="433DCF8E"/>
    <w:rsid w:val="458E24E4"/>
    <w:rsid w:val="45FF973D"/>
    <w:rsid w:val="47550EBA"/>
    <w:rsid w:val="4B631D2D"/>
    <w:rsid w:val="4BF7E09D"/>
    <w:rsid w:val="50DA7717"/>
    <w:rsid w:val="53BB74FC"/>
    <w:rsid w:val="55121974"/>
    <w:rsid w:val="55FDDF92"/>
    <w:rsid w:val="55FFBC03"/>
    <w:rsid w:val="56CDA72E"/>
    <w:rsid w:val="571903B8"/>
    <w:rsid w:val="5756517F"/>
    <w:rsid w:val="576F5916"/>
    <w:rsid w:val="577FDAE2"/>
    <w:rsid w:val="57FBE2C7"/>
    <w:rsid w:val="5B335734"/>
    <w:rsid w:val="5B7F322F"/>
    <w:rsid w:val="5BCAB023"/>
    <w:rsid w:val="5BEACB58"/>
    <w:rsid w:val="5D8649C7"/>
    <w:rsid w:val="5DB20C5F"/>
    <w:rsid w:val="5DDA9B94"/>
    <w:rsid w:val="5EAB810D"/>
    <w:rsid w:val="5EFA9846"/>
    <w:rsid w:val="5EFF9DA6"/>
    <w:rsid w:val="5F642074"/>
    <w:rsid w:val="5F7751B9"/>
    <w:rsid w:val="5F9F7232"/>
    <w:rsid w:val="5F9F9588"/>
    <w:rsid w:val="5FBD32D2"/>
    <w:rsid w:val="5FD450B0"/>
    <w:rsid w:val="5FEF60CD"/>
    <w:rsid w:val="5FFB203D"/>
    <w:rsid w:val="5FFB8CF9"/>
    <w:rsid w:val="63DBAF21"/>
    <w:rsid w:val="6636451A"/>
    <w:rsid w:val="674939C4"/>
    <w:rsid w:val="67DE80AA"/>
    <w:rsid w:val="697E3B47"/>
    <w:rsid w:val="69BF132E"/>
    <w:rsid w:val="6A043B72"/>
    <w:rsid w:val="6B7F84D8"/>
    <w:rsid w:val="6BFEE5F3"/>
    <w:rsid w:val="6CAFF34E"/>
    <w:rsid w:val="6CFFCF4F"/>
    <w:rsid w:val="6DA03489"/>
    <w:rsid w:val="6DFFF8B6"/>
    <w:rsid w:val="6E9FE641"/>
    <w:rsid w:val="6EEDE807"/>
    <w:rsid w:val="6EEE4BE4"/>
    <w:rsid w:val="6EF65E9C"/>
    <w:rsid w:val="6F3D9197"/>
    <w:rsid w:val="6F6F75B6"/>
    <w:rsid w:val="6FAB3EC4"/>
    <w:rsid w:val="6FB6AF41"/>
    <w:rsid w:val="6FD52DA7"/>
    <w:rsid w:val="6FD894C8"/>
    <w:rsid w:val="6FE36A9E"/>
    <w:rsid w:val="6FEFB2D1"/>
    <w:rsid w:val="6FFF97E6"/>
    <w:rsid w:val="70C25205"/>
    <w:rsid w:val="71397E03"/>
    <w:rsid w:val="71FB5B08"/>
    <w:rsid w:val="73FB87D9"/>
    <w:rsid w:val="75EF0FBA"/>
    <w:rsid w:val="7607C293"/>
    <w:rsid w:val="76793C4E"/>
    <w:rsid w:val="767B0EE7"/>
    <w:rsid w:val="76DF783A"/>
    <w:rsid w:val="76DFA4E8"/>
    <w:rsid w:val="778720BD"/>
    <w:rsid w:val="77A7D615"/>
    <w:rsid w:val="77FF366A"/>
    <w:rsid w:val="77FF8C96"/>
    <w:rsid w:val="77FFA8F9"/>
    <w:rsid w:val="78411C9A"/>
    <w:rsid w:val="7976604B"/>
    <w:rsid w:val="79F3BC78"/>
    <w:rsid w:val="7A5B6CAA"/>
    <w:rsid w:val="7A9314AC"/>
    <w:rsid w:val="7B4F6850"/>
    <w:rsid w:val="7BABD5C4"/>
    <w:rsid w:val="7BB12055"/>
    <w:rsid w:val="7BBDC760"/>
    <w:rsid w:val="7BBFADBA"/>
    <w:rsid w:val="7BF7F9C6"/>
    <w:rsid w:val="7BFD607A"/>
    <w:rsid w:val="7BFF492D"/>
    <w:rsid w:val="7C631402"/>
    <w:rsid w:val="7C978C63"/>
    <w:rsid w:val="7CA35AD0"/>
    <w:rsid w:val="7CDF8BC3"/>
    <w:rsid w:val="7CEB72A5"/>
    <w:rsid w:val="7D18750B"/>
    <w:rsid w:val="7DDFDC39"/>
    <w:rsid w:val="7DFDEECD"/>
    <w:rsid w:val="7E140770"/>
    <w:rsid w:val="7E5D92FB"/>
    <w:rsid w:val="7E635AE7"/>
    <w:rsid w:val="7EF51D64"/>
    <w:rsid w:val="7EFFF488"/>
    <w:rsid w:val="7F574612"/>
    <w:rsid w:val="7F7F4920"/>
    <w:rsid w:val="7FB7C299"/>
    <w:rsid w:val="7FBFFB92"/>
    <w:rsid w:val="7FD76ACB"/>
    <w:rsid w:val="7FD89DA2"/>
    <w:rsid w:val="7FDBD805"/>
    <w:rsid w:val="7FDEC14D"/>
    <w:rsid w:val="7FDF8B76"/>
    <w:rsid w:val="7FDFE693"/>
    <w:rsid w:val="7FEFB5DD"/>
    <w:rsid w:val="7FEFBBD9"/>
    <w:rsid w:val="7FFD6A57"/>
    <w:rsid w:val="7FFDA7EC"/>
    <w:rsid w:val="7FFDEA1E"/>
    <w:rsid w:val="7FFEC1F6"/>
    <w:rsid w:val="7FFF0917"/>
    <w:rsid w:val="7FFF2F52"/>
    <w:rsid w:val="8F7B4EC8"/>
    <w:rsid w:val="8FBD4480"/>
    <w:rsid w:val="8FF7AE96"/>
    <w:rsid w:val="955F5184"/>
    <w:rsid w:val="9F6311D7"/>
    <w:rsid w:val="9FF54399"/>
    <w:rsid w:val="A46D76C1"/>
    <w:rsid w:val="A7FF43C2"/>
    <w:rsid w:val="ABF66286"/>
    <w:rsid w:val="AD9E3F04"/>
    <w:rsid w:val="ADA70464"/>
    <w:rsid w:val="AFE97CD3"/>
    <w:rsid w:val="B1BF5C63"/>
    <w:rsid w:val="B1FF3A18"/>
    <w:rsid w:val="B3CDF284"/>
    <w:rsid w:val="B3E8107B"/>
    <w:rsid w:val="B579A608"/>
    <w:rsid w:val="B5F66F24"/>
    <w:rsid w:val="B7F5200A"/>
    <w:rsid w:val="BABDA1AA"/>
    <w:rsid w:val="BB1B4BF1"/>
    <w:rsid w:val="BBE5FE68"/>
    <w:rsid w:val="BBFEB9C1"/>
    <w:rsid w:val="BDF7406A"/>
    <w:rsid w:val="BE6FD8DB"/>
    <w:rsid w:val="BEEF57C2"/>
    <w:rsid w:val="BF6CD6FF"/>
    <w:rsid w:val="BF6D5596"/>
    <w:rsid w:val="BFBEBB2C"/>
    <w:rsid w:val="BFC68935"/>
    <w:rsid w:val="BFDD0F1D"/>
    <w:rsid w:val="BFDDD096"/>
    <w:rsid w:val="C5B3F496"/>
    <w:rsid w:val="C96F3E49"/>
    <w:rsid w:val="CBBF14F3"/>
    <w:rsid w:val="CBE5DCF2"/>
    <w:rsid w:val="CCFCC735"/>
    <w:rsid w:val="CEEB8A74"/>
    <w:rsid w:val="D37FB642"/>
    <w:rsid w:val="D3FD07A6"/>
    <w:rsid w:val="D7F99798"/>
    <w:rsid w:val="D7FF400C"/>
    <w:rsid w:val="D9DB2628"/>
    <w:rsid w:val="DBED1CD4"/>
    <w:rsid w:val="DBFBB328"/>
    <w:rsid w:val="DDD7453A"/>
    <w:rsid w:val="DE3E1FD7"/>
    <w:rsid w:val="DEBFCF8E"/>
    <w:rsid w:val="DFBE1B79"/>
    <w:rsid w:val="DFCF1FEC"/>
    <w:rsid w:val="DFE75A3D"/>
    <w:rsid w:val="DFED2117"/>
    <w:rsid w:val="DFEF594B"/>
    <w:rsid w:val="DFF3F960"/>
    <w:rsid w:val="DFFE0D61"/>
    <w:rsid w:val="E35C4B3C"/>
    <w:rsid w:val="E3A781CA"/>
    <w:rsid w:val="E5DFAB50"/>
    <w:rsid w:val="E6FC647F"/>
    <w:rsid w:val="EAE6D6D4"/>
    <w:rsid w:val="EBFBC8F1"/>
    <w:rsid w:val="EBFDF757"/>
    <w:rsid w:val="ED758B5D"/>
    <w:rsid w:val="ED76A08D"/>
    <w:rsid w:val="EDBDD81F"/>
    <w:rsid w:val="EDFDB542"/>
    <w:rsid w:val="EF0FCF96"/>
    <w:rsid w:val="EF95E20F"/>
    <w:rsid w:val="EFAF7DFF"/>
    <w:rsid w:val="EFAFB283"/>
    <w:rsid w:val="EFBDA38B"/>
    <w:rsid w:val="EFEE9A76"/>
    <w:rsid w:val="F1BF6FBC"/>
    <w:rsid w:val="F1F9A9B5"/>
    <w:rsid w:val="F3779FC2"/>
    <w:rsid w:val="F3D5C239"/>
    <w:rsid w:val="F3F37DF4"/>
    <w:rsid w:val="F3F96DE6"/>
    <w:rsid w:val="F3FBC54A"/>
    <w:rsid w:val="F47BB68A"/>
    <w:rsid w:val="F47F523E"/>
    <w:rsid w:val="F69FD6B0"/>
    <w:rsid w:val="F7E7F921"/>
    <w:rsid w:val="F7F7AC6A"/>
    <w:rsid w:val="F7FD93B9"/>
    <w:rsid w:val="F86B6380"/>
    <w:rsid w:val="F8D9A400"/>
    <w:rsid w:val="FABF64A5"/>
    <w:rsid w:val="FABF7411"/>
    <w:rsid w:val="FBA53981"/>
    <w:rsid w:val="FBE4457E"/>
    <w:rsid w:val="FBFC558A"/>
    <w:rsid w:val="FBFF71AC"/>
    <w:rsid w:val="FBFFEA2B"/>
    <w:rsid w:val="FCCB27AA"/>
    <w:rsid w:val="FCFF8F4B"/>
    <w:rsid w:val="FD9595AD"/>
    <w:rsid w:val="FDDF4F05"/>
    <w:rsid w:val="FDF9DD9A"/>
    <w:rsid w:val="FDFF2821"/>
    <w:rsid w:val="FDFFA696"/>
    <w:rsid w:val="FE7FB02B"/>
    <w:rsid w:val="FEBD0232"/>
    <w:rsid w:val="FED5A77F"/>
    <w:rsid w:val="FEDFD193"/>
    <w:rsid w:val="FEE7097E"/>
    <w:rsid w:val="FEEF8230"/>
    <w:rsid w:val="FEF1F1BE"/>
    <w:rsid w:val="FEF99316"/>
    <w:rsid w:val="FEFB20CB"/>
    <w:rsid w:val="FEFD95B3"/>
    <w:rsid w:val="FEFE4E93"/>
    <w:rsid w:val="FEFFA483"/>
    <w:rsid w:val="FF29B32D"/>
    <w:rsid w:val="FF2E6944"/>
    <w:rsid w:val="FF5F9D52"/>
    <w:rsid w:val="FF7A0B6A"/>
    <w:rsid w:val="FF7B6DC2"/>
    <w:rsid w:val="FF7FFF75"/>
    <w:rsid w:val="FF921F59"/>
    <w:rsid w:val="FFB75E44"/>
    <w:rsid w:val="FFBB1E09"/>
    <w:rsid w:val="FFBB6A0C"/>
    <w:rsid w:val="FFBD894B"/>
    <w:rsid w:val="FFBF33B3"/>
    <w:rsid w:val="FFD09362"/>
    <w:rsid w:val="FFD1DA08"/>
    <w:rsid w:val="FFD7DEDD"/>
    <w:rsid w:val="FFDE369F"/>
    <w:rsid w:val="FFEF98C9"/>
    <w:rsid w:val="FFEFCE62"/>
    <w:rsid w:val="FFF973B0"/>
    <w:rsid w:val="FFFB4F05"/>
    <w:rsid w:val="FFFEC8F5"/>
    <w:rsid w:val="FFFE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Normal Indent"/>
    <w:basedOn w:val="1"/>
    <w:next w:val="1"/>
    <w:qFormat/>
    <w:uiPriority w:val="0"/>
    <w:pPr>
      <w:spacing w:before="156" w:beforeLines="50" w:line="360" w:lineRule="auto"/>
      <w:ind w:firstLine="480" w:firstLineChars="200"/>
    </w:pPr>
    <w:rPr>
      <w:rFonts w:eastAsia="仿宋"/>
      <w:sz w:val="24"/>
      <w:szCs w:val="23"/>
      <w:lang w:eastAsia="ar-SA"/>
    </w:rPr>
  </w:style>
  <w:style w:type="paragraph" w:styleId="5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6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6">
    <w:name w:val="四号正文"/>
    <w:basedOn w:val="1"/>
    <w:link w:val="17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7">
    <w:name w:val="四号正文 Char"/>
    <w:basedOn w:val="13"/>
    <w:link w:val="16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8">
    <w:name w:val="文档结构图 Char"/>
    <w:basedOn w:val="13"/>
    <w:link w:val="5"/>
    <w:qFormat/>
    <w:uiPriority w:val="0"/>
    <w:rPr>
      <w:rFonts w:ascii="宋体"/>
      <w:kern w:val="2"/>
      <w:sz w:val="18"/>
      <w:szCs w:val="18"/>
    </w:rPr>
  </w:style>
  <w:style w:type="paragraph" w:customStyle="1" w:styleId="19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页脚 Char"/>
    <w:basedOn w:val="13"/>
    <w:link w:val="3"/>
    <w:qFormat/>
    <w:uiPriority w:val="99"/>
    <w:rPr>
      <w:kern w:val="2"/>
      <w:sz w:val="18"/>
      <w:szCs w:val="18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51"/>
    <w:basedOn w:val="13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3">
    <w:name w:val="font01"/>
    <w:basedOn w:val="1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paragraph" w:customStyle="1" w:styleId="2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6</Pages>
  <Words>2666</Words>
  <Characters>3006</Characters>
  <Lines>2</Lines>
  <Paragraphs>1</Paragraphs>
  <TotalTime>25</TotalTime>
  <ScaleCrop>false</ScaleCrop>
  <LinksUpToDate>false</LinksUpToDate>
  <CharactersWithSpaces>3008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2019-06-01T11:06:00Z</dcterms:created>
  <dc:creator>陈萍</dc:creator>
  <cp:lastModifiedBy>FGJ（俊）</cp:lastModifiedBy>
  <cp:lastPrinted>2026-04-20T00:50:00Z</cp:lastPrinted>
  <dcterms:modified xsi:type="dcterms:W3CDTF">2026-04-20T07:38:46Z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eyJoZGlkIjoiOTM0OTE0YzQ0M2UzMmYyYWRlOTliZmM5ZTViZTUwMWUiLCJ1c2VySWQiOiIzOTkzNzU4MTQifQ==</vt:lpwstr>
  </property>
  <property fmtid="{D5CDD505-2E9C-101B-9397-08002B2CF9AE}" pid="4" name="ICV">
    <vt:lpwstr>304DAAF904D9421CBABC171FA0BC19A5_12</vt:lpwstr>
  </property>
</Properties>
</file>